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6"/>
        <w:gridCol w:w="45"/>
      </w:tblGrid>
      <w:tr w:rsidR="00472942" w:rsidRPr="00472942" w:rsidTr="00472942">
        <w:tc>
          <w:tcPr>
            <w:tcW w:w="0" w:type="auto"/>
            <w:vAlign w:val="center"/>
            <w:hideMark/>
          </w:tcPr>
          <w:p w:rsidR="00472942" w:rsidRPr="00472942" w:rsidRDefault="00472942" w:rsidP="00472942">
            <w:bookmarkStart w:id="0" w:name="_GoBack" w:colFirst="0" w:colLast="1"/>
            <w:r w:rsidRPr="00472942">
              <w:t>Innsyn i egne personopplysninger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472942" w:rsidRPr="00472942" w:rsidTr="00B20997">
              <w:trPr>
                <w:jc w:val="right"/>
              </w:trPr>
              <w:tc>
                <w:tcPr>
                  <w:tcW w:w="0" w:type="auto"/>
                  <w:vAlign w:val="center"/>
                </w:tcPr>
                <w:p w:rsidR="00472942" w:rsidRPr="00472942" w:rsidRDefault="00472942" w:rsidP="00472942"/>
              </w:tc>
              <w:tc>
                <w:tcPr>
                  <w:tcW w:w="0" w:type="auto"/>
                  <w:vAlign w:val="center"/>
                </w:tcPr>
                <w:p w:rsidR="00472942" w:rsidRPr="00472942" w:rsidRDefault="00472942" w:rsidP="00472942"/>
              </w:tc>
            </w:tr>
          </w:tbl>
          <w:p w:rsidR="00472942" w:rsidRPr="00472942" w:rsidRDefault="00472942" w:rsidP="00472942"/>
        </w:tc>
      </w:tr>
      <w:tr w:rsidR="00472942" w:rsidRPr="00472942" w:rsidTr="00472942"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6750"/>
            </w:tblGrid>
            <w:tr w:rsidR="00472942" w:rsidRPr="00B20997"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1. FORMÅL</w:t>
                  </w:r>
                </w:p>
              </w:tc>
              <w:tc>
                <w:tcPr>
                  <w:tcW w:w="3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pPr>
                    <w:rPr>
                      <w:lang w:val="nb-NO"/>
                    </w:rPr>
                  </w:pPr>
                  <w:r w:rsidRPr="00472942">
                    <w:rPr>
                      <w:lang w:val="nb-NO"/>
                    </w:rPr>
                    <w:t>Informere ledere og ansatte om hvordan vi håndterer krav om innsyn i egne personopplysninger</w:t>
                  </w:r>
                </w:p>
              </w:tc>
            </w:tr>
          </w:tbl>
          <w:p w:rsidR="00472942" w:rsidRPr="00472942" w:rsidRDefault="00472942" w:rsidP="00472942">
            <w:pPr>
              <w:rPr>
                <w:lang w:val="nb-NO"/>
              </w:rPr>
            </w:pPr>
            <w:r w:rsidRPr="00472942">
              <w:rPr>
                <w:rFonts w:ascii="MS Gothic" w:eastAsia="MS Gothic" w:hAnsi="MS Gothic" w:cs="MS Gothic" w:hint="eastAsia"/>
              </w:rPr>
              <w:t xml:space="preserve">　</w:t>
            </w:r>
          </w:p>
          <w:p w:rsidR="00472942" w:rsidRPr="00472942" w:rsidRDefault="00472942" w:rsidP="00472942">
            <w:pPr>
              <w:rPr>
                <w:lang w:val="nb-NO"/>
              </w:rPr>
            </w:pPr>
            <w:r w:rsidRPr="00472942">
              <w:rPr>
                <w:lang w:val="nb-NO"/>
              </w:rPr>
              <w:t>2. BESKRIVELSE</w:t>
            </w:r>
          </w:p>
          <w:p w:rsidR="00472942" w:rsidRPr="00472942" w:rsidRDefault="00B20997" w:rsidP="00472942">
            <w:pPr>
              <w:rPr>
                <w:lang w:val="nb-NO"/>
              </w:rPr>
            </w:pPr>
            <w:r>
              <w:rPr>
                <w:lang w:val="nb-NO"/>
              </w:rPr>
              <w:t>Når en person krev</w:t>
            </w:r>
            <w:r w:rsidR="00472942" w:rsidRPr="00472942">
              <w:rPr>
                <w:lang w:val="nb-NO"/>
              </w:rPr>
              <w:t xml:space="preserve"> innsyn i e</w:t>
            </w:r>
            <w:r>
              <w:rPr>
                <w:lang w:val="nb-NO"/>
              </w:rPr>
              <w:t>i</w:t>
            </w:r>
            <w:r w:rsidR="00472942" w:rsidRPr="00472942">
              <w:rPr>
                <w:lang w:val="nb-NO"/>
              </w:rPr>
              <w:t>gne personopplysninger skal den følges opp slik;</w:t>
            </w:r>
          </w:p>
          <w:tbl>
            <w:tblPr>
              <w:tblW w:w="90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89"/>
              <w:gridCol w:w="1518"/>
              <w:gridCol w:w="3703"/>
              <w:gridCol w:w="1668"/>
              <w:gridCol w:w="1337"/>
            </w:tblGrid>
            <w:tr w:rsidR="00472942" w:rsidRPr="00B20997"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B20997" w:rsidRDefault="00472942" w:rsidP="00472942">
                  <w:pPr>
                    <w:rPr>
                      <w:lang w:val="nb-NO"/>
                    </w:rPr>
                  </w:pPr>
                  <w:r w:rsidRPr="00B20997">
                    <w:rPr>
                      <w:lang w:val="nb-NO"/>
                    </w:rPr>
                    <w:t>Trinn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B20997" w:rsidRDefault="00472942" w:rsidP="00472942">
                  <w:pPr>
                    <w:rPr>
                      <w:lang w:val="nb-NO"/>
                    </w:rPr>
                  </w:pPr>
                  <w:r w:rsidRPr="00B20997">
                    <w:rPr>
                      <w:lang w:val="nb-NO"/>
                    </w:rPr>
                    <w:t>Oppgaver</w:t>
                  </w:r>
                  <w:r w:rsidRPr="00B20997">
                    <w:rPr>
                      <w:lang w:val="nb-NO"/>
                    </w:rPr>
                    <w:br/>
                    <w:t>(stikkord)</w:t>
                  </w:r>
                </w:p>
              </w:tc>
              <w:tc>
                <w:tcPr>
                  <w:tcW w:w="2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B20997" w:rsidRDefault="00472942" w:rsidP="00472942">
                  <w:pPr>
                    <w:rPr>
                      <w:lang w:val="nb-NO"/>
                    </w:rPr>
                  </w:pPr>
                  <w:r w:rsidRPr="00B20997">
                    <w:rPr>
                      <w:lang w:val="nb-NO"/>
                    </w:rPr>
                    <w:t>Krav til utførelse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B20997" w:rsidRDefault="00472942" w:rsidP="00472942">
                  <w:pPr>
                    <w:rPr>
                      <w:lang w:val="nb-NO"/>
                    </w:rPr>
                  </w:pPr>
                  <w:r w:rsidRPr="00B20997">
                    <w:rPr>
                      <w:lang w:val="nb-NO"/>
                    </w:rPr>
                    <w:t xml:space="preserve">Verktøy og </w:t>
                  </w:r>
                  <w:r w:rsidRPr="00B20997">
                    <w:rPr>
                      <w:lang w:val="nb-NO"/>
                    </w:rPr>
                    <w:br/>
                    <w:t>dokumenter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B20997" w:rsidRDefault="00472942" w:rsidP="00472942">
                  <w:pPr>
                    <w:rPr>
                      <w:lang w:val="nb-NO"/>
                    </w:rPr>
                  </w:pPr>
                  <w:r w:rsidRPr="00B20997">
                    <w:rPr>
                      <w:lang w:val="nb-NO"/>
                    </w:rPr>
                    <w:t>Ansvar</w:t>
                  </w:r>
                </w:p>
              </w:tc>
            </w:tr>
            <w:tr w:rsidR="00472942" w:rsidRPr="00472942"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B20997" w:rsidRDefault="00472942" w:rsidP="00472942">
                  <w:pPr>
                    <w:rPr>
                      <w:lang w:val="nb-NO"/>
                    </w:rPr>
                  </w:pPr>
                  <w:r w:rsidRPr="00B20997">
                    <w:rPr>
                      <w:lang w:val="nb-NO"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B20997" w:rsidRDefault="00472942" w:rsidP="00472942">
                  <w:pPr>
                    <w:rPr>
                      <w:lang w:val="nb-NO"/>
                    </w:rPr>
                  </w:pPr>
                  <w:r w:rsidRPr="00B20997">
                    <w:rPr>
                      <w:lang w:val="nb-NO"/>
                    </w:rPr>
                    <w:t>Innsyns-begjæring</w:t>
                  </w:r>
                </w:p>
              </w:tc>
              <w:tc>
                <w:tcPr>
                  <w:tcW w:w="2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pPr>
                    <w:rPr>
                      <w:lang w:val="nb-NO"/>
                    </w:rPr>
                  </w:pPr>
                  <w:r w:rsidRPr="00472942">
                    <w:rPr>
                      <w:lang w:val="nb-NO"/>
                    </w:rPr>
                    <w:t>Krav om innsyn i egne personopplysninger vil kunne komme muntlig, skriftlig på papir, som epost eller via skjema på nettsiden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pPr>
                    <w:rPr>
                      <w:lang w:val="nb-NO"/>
                    </w:rPr>
                  </w:pPr>
                  <w:r w:rsidRPr="00472942">
                    <w:rPr>
                      <w:rFonts w:ascii="MS Gothic" w:eastAsia="MS Gothic" w:hAnsi="MS Gothic" w:cs="MS Gothic" w:hint="eastAsia"/>
                    </w:rPr>
                    <w:t xml:space="preserve">　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Den som krever innsyn</w:t>
                  </w:r>
                </w:p>
              </w:tc>
            </w:tr>
            <w:tr w:rsidR="00472942" w:rsidRPr="00472942"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1.1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Muntlig</w:t>
                  </w:r>
                </w:p>
              </w:tc>
              <w:tc>
                <w:tcPr>
                  <w:tcW w:w="2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rPr>
                      <w:lang w:val="nb-NO"/>
                    </w:rPr>
                    <w:t xml:space="preserve">Be om skriftlig krav som inneholder personnummer, navn og adresse. </w:t>
                  </w:r>
                  <w:r w:rsidRPr="00472942">
                    <w:t>Be om spesifikasjon av innsynskravet.</w:t>
                  </w:r>
                  <w:r w:rsidR="00045749">
                    <w:t xml:space="preserve"> Husk å forsikre om at det er riktig person som fremmer kravet/ sikker identifisering.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I papir eller elektronisk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Den som mottar kravet</w:t>
                  </w:r>
                </w:p>
              </w:tc>
            </w:tr>
            <w:tr w:rsidR="00472942" w:rsidRPr="00472942"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2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Opprette sak</w:t>
                  </w:r>
                </w:p>
              </w:tc>
              <w:tc>
                <w:tcPr>
                  <w:tcW w:w="2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pPr>
                    <w:rPr>
                      <w:lang w:val="nb-NO"/>
                    </w:rPr>
                  </w:pPr>
                  <w:r w:rsidRPr="00472942">
                    <w:rPr>
                      <w:lang w:val="nb-NO"/>
                    </w:rPr>
                    <w:t>Det skal opprettes en arkivsak pr innsynskrav, bruk malsaken «Innsyn i personopplysninger»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WebSak Fokus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045749" w:rsidP="00472942">
                  <w:r>
                    <w:t>Arkivet</w:t>
                  </w:r>
                </w:p>
              </w:tc>
            </w:tr>
            <w:tr w:rsidR="00472942" w:rsidRPr="00472942"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2.1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Saksansvarlig</w:t>
                  </w:r>
                </w:p>
              </w:tc>
              <w:tc>
                <w:tcPr>
                  <w:tcW w:w="2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Arkivleder er saksansvarlig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WebSak Fokus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045749" w:rsidP="00472942">
                  <w:r>
                    <w:t>Arkivet</w:t>
                  </w:r>
                </w:p>
              </w:tc>
            </w:tr>
            <w:tr w:rsidR="00472942" w:rsidRPr="00472942"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3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Dokument-håndtering</w:t>
                  </w:r>
                </w:p>
              </w:tc>
              <w:tc>
                <w:tcPr>
                  <w:tcW w:w="2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Registrere innsynskrav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WebSak Fokus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045749" w:rsidP="00472942">
                  <w:r>
                    <w:t>Arkivet</w:t>
                  </w:r>
                </w:p>
              </w:tc>
            </w:tr>
            <w:tr w:rsidR="00472942" w:rsidRPr="00472942"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3.1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Papir</w:t>
                  </w:r>
                </w:p>
              </w:tc>
              <w:tc>
                <w:tcPr>
                  <w:tcW w:w="2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045749">
                  <w:r w:rsidRPr="00472942">
                    <w:t xml:space="preserve">Ved mottatt krav på papir skal dette sendes til </w:t>
                  </w:r>
                  <w:r w:rsidR="00045749">
                    <w:t>arkivet</w:t>
                  </w:r>
                  <w:r w:rsidRPr="00472942">
                    <w:t xml:space="preserve"> for registrering.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WebSak Fokus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Den som mottar kravet</w:t>
                  </w:r>
                </w:p>
              </w:tc>
            </w:tr>
            <w:tr w:rsidR="00472942" w:rsidRPr="00472942"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3.2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Epost</w:t>
                  </w:r>
                </w:p>
              </w:tc>
              <w:tc>
                <w:tcPr>
                  <w:tcW w:w="2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045749">
                  <w:r w:rsidRPr="00472942">
                    <w:t>Ved mottatt krav på epost videresendes dette til post</w:t>
                  </w:r>
                  <w:r w:rsidR="00045749">
                    <w:t>@sula</w:t>
                  </w:r>
                  <w:r w:rsidRPr="00472942">
                    <w:t>.kommune.no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WebSak Fokus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Den som mottar kravet</w:t>
                  </w:r>
                </w:p>
              </w:tc>
            </w:tr>
            <w:tr w:rsidR="00472942" w:rsidRPr="00472942"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3.3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Skjema</w:t>
                  </w:r>
                </w:p>
              </w:tc>
              <w:tc>
                <w:tcPr>
                  <w:tcW w:w="2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pPr>
                    <w:rPr>
                      <w:lang w:val="nb-NO"/>
                    </w:rPr>
                  </w:pPr>
                  <w:r w:rsidRPr="00472942">
                    <w:rPr>
                      <w:lang w:val="nb-NO"/>
                    </w:rPr>
                    <w:t>Ved mottatt skjema fra hjemmesiden importeres skjema fra ACOS Mottak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Skjemamottak  og WebSak Fokus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045749" w:rsidP="00472942">
                  <w:r>
                    <w:t>Arkivet</w:t>
                  </w:r>
                </w:p>
              </w:tc>
            </w:tr>
            <w:tr w:rsidR="00472942" w:rsidRPr="00472942"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4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Behandling</w:t>
                  </w:r>
                </w:p>
              </w:tc>
              <w:tc>
                <w:tcPr>
                  <w:tcW w:w="2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Saksbehandling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rPr>
                      <w:rFonts w:ascii="MS Gothic" w:eastAsia="MS Gothic" w:hAnsi="MS Gothic" w:cs="MS Gothic" w:hint="eastAsia"/>
                    </w:rPr>
                    <w:t xml:space="preserve">　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rPr>
                      <w:rFonts w:ascii="MS Gothic" w:eastAsia="MS Gothic" w:hAnsi="MS Gothic" w:cs="MS Gothic" w:hint="eastAsia"/>
                    </w:rPr>
                    <w:t xml:space="preserve">　</w:t>
                  </w:r>
                </w:p>
              </w:tc>
            </w:tr>
            <w:tr w:rsidR="00472942" w:rsidRPr="00472942"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4.1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Mottakerliste</w:t>
                  </w:r>
                </w:p>
              </w:tc>
              <w:tc>
                <w:tcPr>
                  <w:tcW w:w="2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Arkivleder oppretter fast mottakerliste for kontaktpersoner for fagsystemene, basert på informasjon fra IT og personvernombudet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Websak Fokus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Arkivleder</w:t>
                  </w:r>
                </w:p>
              </w:tc>
            </w:tr>
            <w:tr w:rsidR="00472942" w:rsidRPr="00472942"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lastRenderedPageBreak/>
                    <w:t>4.2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Internt notat</w:t>
                  </w:r>
                </w:p>
              </w:tc>
              <w:tc>
                <w:tcPr>
                  <w:tcW w:w="2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Arkivleder sender internt notat (N) til aktuelle kontaktpersoner for fagsystemene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WebSak Fokus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Arkivleder</w:t>
                  </w:r>
                </w:p>
              </w:tc>
            </w:tr>
            <w:tr w:rsidR="00472942" w:rsidRPr="00472942"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4.3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Utsjekk</w:t>
                  </w:r>
                </w:p>
              </w:tc>
              <w:tc>
                <w:tcPr>
                  <w:tcW w:w="2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pPr>
                    <w:rPr>
                      <w:lang w:val="nb-NO"/>
                    </w:rPr>
                  </w:pPr>
                  <w:r w:rsidRPr="00472942">
                    <w:rPr>
                      <w:lang w:val="nb-NO"/>
                    </w:rPr>
                    <w:t>Kontaktperson for fagsystem sjekker om det foreligger personopplysninger på forespurt person.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Fagsystem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Kontakt-person</w:t>
                  </w:r>
                </w:p>
              </w:tc>
            </w:tr>
            <w:tr w:rsidR="00472942" w:rsidRPr="00472942"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4.4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Kopi</w:t>
                  </w:r>
                </w:p>
              </w:tc>
              <w:tc>
                <w:tcPr>
                  <w:tcW w:w="2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pPr>
                    <w:rPr>
                      <w:lang w:val="nb-NO"/>
                    </w:rPr>
                  </w:pPr>
                  <w:r w:rsidRPr="00472942">
                    <w:rPr>
                      <w:lang w:val="nb-NO"/>
                    </w:rPr>
                    <w:t>Kontaktperson for fagsystem tar utskrift av aktuelle opplysninger og sender disse i lukket konvolutt som merkes arkivleder.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Fagsystem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Kontakt-person</w:t>
                  </w:r>
                </w:p>
              </w:tc>
            </w:tr>
            <w:tr w:rsidR="00472942" w:rsidRPr="00472942"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4.5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Frist</w:t>
                  </w:r>
                </w:p>
              </w:tc>
              <w:tc>
                <w:tcPr>
                  <w:tcW w:w="2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pPr>
                    <w:rPr>
                      <w:lang w:val="nb-NO"/>
                    </w:rPr>
                  </w:pPr>
                  <w:r w:rsidRPr="00472942">
                    <w:rPr>
                      <w:lang w:val="nb-NO"/>
                    </w:rPr>
                    <w:t>Kontaktperson for fagsystem skal sende fra seg utskriftene innen 14 dager etter mottatt internt notat.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Fagsystem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Kontakt-person</w:t>
                  </w:r>
                </w:p>
              </w:tc>
            </w:tr>
            <w:tr w:rsidR="00472942" w:rsidRPr="00472942"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4.6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Svar</w:t>
                  </w:r>
                </w:p>
              </w:tc>
              <w:tc>
                <w:tcPr>
                  <w:tcW w:w="2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rPr>
                      <w:lang w:val="nb-NO"/>
                    </w:rPr>
                    <w:t xml:space="preserve">Arkivleder sender svarbrev via SvarUt innen 30 dager etter mottatt innsynskrav og legger ved utskriftene fra fagsystemene. </w:t>
                  </w:r>
                  <w:r w:rsidRPr="00472942">
                    <w:t>Det interne notatet til aktuelle kontaktpersoner for fagsystem legges også med som vedlegg.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WebSak Fokus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2942" w:rsidRPr="00472942" w:rsidRDefault="00472942" w:rsidP="00472942">
                  <w:r w:rsidRPr="00472942">
                    <w:t>Arkivleder</w:t>
                  </w:r>
                </w:p>
              </w:tc>
            </w:tr>
          </w:tbl>
          <w:p w:rsidR="00472942" w:rsidRPr="00472942" w:rsidRDefault="00472942" w:rsidP="00472942"/>
        </w:tc>
      </w:tr>
      <w:bookmarkEnd w:id="0"/>
    </w:tbl>
    <w:p w:rsidR="005A71A2" w:rsidRDefault="005A71A2"/>
    <w:sectPr w:rsidR="005A7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42"/>
    <w:rsid w:val="00045749"/>
    <w:rsid w:val="00472942"/>
    <w:rsid w:val="005A71A2"/>
    <w:rsid w:val="007F160E"/>
    <w:rsid w:val="00B2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80E7"/>
  <w15:chartTrackingRefBased/>
  <w15:docId w15:val="{85419E1C-59B6-468B-82B7-BF6EF9A5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729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2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Sula Kommune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Sjøli Brandal</dc:creator>
  <cp:keywords/>
  <dc:description/>
  <cp:lastModifiedBy>Randi Sjøli Brandal</cp:lastModifiedBy>
  <cp:revision>3</cp:revision>
  <dcterms:created xsi:type="dcterms:W3CDTF">2018-09-03T07:55:00Z</dcterms:created>
  <dcterms:modified xsi:type="dcterms:W3CDTF">2019-07-08T12:12:00Z</dcterms:modified>
</cp:coreProperties>
</file>